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F3A7" w14:textId="77777777" w:rsidR="005B7F4D" w:rsidRPr="001B53E5" w:rsidRDefault="005B7F4D">
      <w:pPr>
        <w:jc w:val="center"/>
        <w:rPr>
          <w:b/>
          <w:sz w:val="28"/>
          <w:szCs w:val="28"/>
        </w:rPr>
      </w:pPr>
    </w:p>
    <w:p w14:paraId="202E46FB" w14:textId="77777777" w:rsidR="005B7F4D" w:rsidRPr="001B53E5" w:rsidRDefault="005B7F4D">
      <w:pPr>
        <w:jc w:val="center"/>
        <w:rPr>
          <w:b/>
          <w:sz w:val="28"/>
          <w:szCs w:val="28"/>
        </w:rPr>
      </w:pPr>
    </w:p>
    <w:p w14:paraId="2A65C195" w14:textId="77777777" w:rsidR="005B7F4D" w:rsidRPr="001B53E5" w:rsidRDefault="005B7F4D">
      <w:pPr>
        <w:jc w:val="center"/>
        <w:rPr>
          <w:b/>
          <w:sz w:val="28"/>
          <w:szCs w:val="28"/>
        </w:rPr>
      </w:pPr>
    </w:p>
    <w:p w14:paraId="1CC04606" w14:textId="77777777" w:rsidR="005B7F4D" w:rsidRPr="001B53E5" w:rsidRDefault="005B7F4D">
      <w:pPr>
        <w:jc w:val="center"/>
        <w:rPr>
          <w:b/>
          <w:sz w:val="28"/>
          <w:szCs w:val="28"/>
        </w:rPr>
      </w:pPr>
    </w:p>
    <w:p w14:paraId="174B264E" w14:textId="77777777" w:rsidR="005B7F4D" w:rsidRPr="001B53E5" w:rsidRDefault="005B7F4D">
      <w:pPr>
        <w:rPr>
          <w:b/>
          <w:sz w:val="28"/>
          <w:szCs w:val="28"/>
        </w:rPr>
      </w:pPr>
    </w:p>
    <w:p w14:paraId="7F5ED437" w14:textId="77777777" w:rsidR="001B53E5" w:rsidRPr="001B53E5" w:rsidRDefault="001B53E5" w:rsidP="001B53E5">
      <w:pPr>
        <w:spacing w:line="240" w:lineRule="auto"/>
        <w:rPr>
          <w:rFonts w:eastAsia="Times New Roman"/>
          <w:color w:val="0E101A"/>
          <w:sz w:val="24"/>
          <w:szCs w:val="24"/>
          <w:lang w:val="en-US"/>
        </w:rPr>
      </w:pPr>
    </w:p>
    <w:p w14:paraId="74004AE9" w14:textId="77777777" w:rsidR="001B53E5" w:rsidRPr="001B53E5" w:rsidRDefault="001B53E5" w:rsidP="001B53E5">
      <w:pPr>
        <w:spacing w:line="240" w:lineRule="auto"/>
        <w:rPr>
          <w:rFonts w:eastAsia="Times New Roman"/>
          <w:color w:val="0E101A"/>
          <w:sz w:val="24"/>
          <w:szCs w:val="24"/>
          <w:lang w:val="en-US"/>
        </w:rPr>
      </w:pPr>
    </w:p>
    <w:p w14:paraId="1602D70D" w14:textId="77777777" w:rsidR="001B53E5" w:rsidRPr="001B53E5" w:rsidRDefault="001B53E5" w:rsidP="001B53E5">
      <w:pPr>
        <w:spacing w:line="240" w:lineRule="auto"/>
        <w:rPr>
          <w:rFonts w:eastAsia="Times New Roman"/>
          <w:color w:val="0E101A"/>
          <w:sz w:val="24"/>
          <w:szCs w:val="24"/>
          <w:lang w:val="en-US"/>
        </w:rPr>
      </w:pPr>
    </w:p>
    <w:p w14:paraId="0600D2F6" w14:textId="77777777" w:rsidR="001B53E5" w:rsidRPr="001B53E5" w:rsidRDefault="001B53E5" w:rsidP="001B53E5">
      <w:pPr>
        <w:spacing w:line="240" w:lineRule="auto"/>
        <w:rPr>
          <w:rFonts w:eastAsia="Times New Roman"/>
          <w:color w:val="0E101A"/>
          <w:sz w:val="24"/>
          <w:szCs w:val="24"/>
          <w:lang w:val="en-US"/>
        </w:rPr>
      </w:pPr>
    </w:p>
    <w:p w14:paraId="68A9D48C" w14:textId="77777777" w:rsidR="001B53E5" w:rsidRPr="001B53E5" w:rsidRDefault="001B53E5" w:rsidP="001B53E5">
      <w:pPr>
        <w:spacing w:line="240" w:lineRule="auto"/>
        <w:rPr>
          <w:rFonts w:eastAsia="Times New Roman"/>
          <w:color w:val="0E101A"/>
          <w:sz w:val="24"/>
          <w:szCs w:val="24"/>
          <w:lang w:val="en-US"/>
        </w:rPr>
      </w:pPr>
    </w:p>
    <w:p w14:paraId="564BED01" w14:textId="77777777" w:rsidR="001B53E5" w:rsidRPr="001B53E5" w:rsidRDefault="001B53E5" w:rsidP="001B53E5">
      <w:pPr>
        <w:spacing w:line="240" w:lineRule="auto"/>
        <w:jc w:val="center"/>
        <w:rPr>
          <w:rFonts w:eastAsia="Times New Roman"/>
          <w:color w:val="0E101A"/>
          <w:sz w:val="24"/>
          <w:szCs w:val="24"/>
          <w:lang w:val="en-US"/>
        </w:rPr>
      </w:pPr>
      <w:r w:rsidRPr="001B53E5">
        <w:rPr>
          <w:rFonts w:eastAsia="Times New Roman"/>
          <w:b/>
          <w:bCs/>
          <w:color w:val="0E101A"/>
          <w:sz w:val="24"/>
          <w:szCs w:val="24"/>
          <w:lang w:val="en-US"/>
        </w:rPr>
        <w:t>NSSA Board Meeting Summary Notes #70</w:t>
      </w:r>
    </w:p>
    <w:p w14:paraId="39D019A7" w14:textId="77777777" w:rsidR="001B53E5" w:rsidRPr="001B53E5" w:rsidRDefault="001B53E5" w:rsidP="001B53E5">
      <w:pPr>
        <w:spacing w:line="240" w:lineRule="auto"/>
        <w:jc w:val="center"/>
        <w:rPr>
          <w:rFonts w:eastAsia="Times New Roman"/>
          <w:color w:val="0E101A"/>
          <w:sz w:val="24"/>
          <w:szCs w:val="24"/>
          <w:lang w:val="en-US"/>
        </w:rPr>
      </w:pPr>
      <w:r w:rsidRPr="001B53E5">
        <w:rPr>
          <w:rFonts w:eastAsia="Times New Roman"/>
          <w:b/>
          <w:bCs/>
          <w:color w:val="0E101A"/>
          <w:sz w:val="24"/>
          <w:szCs w:val="24"/>
          <w:lang w:val="en-US"/>
        </w:rPr>
        <w:t>November 7, 2022, at 6:00 pm</w:t>
      </w:r>
    </w:p>
    <w:p w14:paraId="7F74F0C8" w14:textId="26307748" w:rsidR="001B53E5" w:rsidRPr="001B53E5" w:rsidRDefault="001B53E5" w:rsidP="001B53E5">
      <w:pPr>
        <w:spacing w:line="240" w:lineRule="auto"/>
        <w:jc w:val="center"/>
        <w:rPr>
          <w:rFonts w:eastAsia="Times New Roman"/>
          <w:color w:val="0E101A"/>
          <w:sz w:val="24"/>
          <w:szCs w:val="24"/>
          <w:lang w:val="en-US"/>
        </w:rPr>
      </w:pPr>
      <w:hyperlink r:id="rId7" w:tgtFrame="_blank" w:history="1">
        <w:r w:rsidRPr="001B53E5">
          <w:rPr>
            <w:rFonts w:eastAsia="Times New Roman"/>
            <w:color w:val="4A6EE0"/>
            <w:sz w:val="24"/>
            <w:szCs w:val="24"/>
            <w:u w:val="single"/>
            <w:lang w:val="en-US"/>
          </w:rPr>
          <w:t>https://zoom.us/j/93414748822?pwd=MjJkM3Vyb21YS1BDK2doVEpIZ25uUT09</w:t>
        </w:r>
      </w:hyperlink>
    </w:p>
    <w:p w14:paraId="4446360C" w14:textId="77777777" w:rsidR="001B53E5" w:rsidRPr="001B53E5" w:rsidRDefault="001B53E5" w:rsidP="001B53E5">
      <w:pPr>
        <w:spacing w:line="240" w:lineRule="auto"/>
        <w:jc w:val="center"/>
        <w:rPr>
          <w:rFonts w:eastAsia="Times New Roman"/>
          <w:color w:val="0E101A"/>
          <w:sz w:val="24"/>
          <w:szCs w:val="24"/>
          <w:lang w:val="en-US"/>
        </w:rPr>
      </w:pPr>
      <w:r w:rsidRPr="001B53E5">
        <w:rPr>
          <w:rFonts w:eastAsia="Times New Roman"/>
          <w:color w:val="0E101A"/>
          <w:sz w:val="24"/>
          <w:szCs w:val="24"/>
          <w:lang w:val="en-US"/>
        </w:rPr>
        <w:t>Meeting ID: 934 1474 8822</w:t>
      </w:r>
    </w:p>
    <w:p w14:paraId="54943AE8" w14:textId="77777777" w:rsidR="001B53E5" w:rsidRPr="001B53E5" w:rsidRDefault="001B53E5" w:rsidP="001B53E5">
      <w:pPr>
        <w:spacing w:line="240" w:lineRule="auto"/>
        <w:jc w:val="center"/>
        <w:rPr>
          <w:rFonts w:eastAsia="Times New Roman"/>
          <w:color w:val="0E101A"/>
          <w:sz w:val="24"/>
          <w:szCs w:val="24"/>
          <w:lang w:val="en-US"/>
        </w:rPr>
      </w:pPr>
      <w:r w:rsidRPr="001B53E5">
        <w:rPr>
          <w:rFonts w:eastAsia="Times New Roman"/>
          <w:color w:val="0E101A"/>
          <w:sz w:val="24"/>
          <w:szCs w:val="24"/>
          <w:lang w:val="en-US"/>
        </w:rPr>
        <w:t>Passcode: 454959</w:t>
      </w:r>
    </w:p>
    <w:p w14:paraId="55A4BA3C" w14:textId="77777777" w:rsidR="001B53E5" w:rsidRPr="001B53E5" w:rsidRDefault="001B53E5" w:rsidP="001B53E5">
      <w:pPr>
        <w:spacing w:line="240" w:lineRule="auto"/>
        <w:rPr>
          <w:rFonts w:eastAsia="Times New Roman"/>
          <w:color w:val="0E101A"/>
          <w:sz w:val="24"/>
          <w:szCs w:val="24"/>
          <w:lang w:val="en-US"/>
        </w:rPr>
      </w:pPr>
    </w:p>
    <w:p w14:paraId="2B89757A" w14:textId="77777777" w:rsidR="001B53E5" w:rsidRPr="001B53E5" w:rsidRDefault="001B53E5" w:rsidP="001B53E5">
      <w:pPr>
        <w:numPr>
          <w:ilvl w:val="0"/>
          <w:numId w:val="3"/>
        </w:numPr>
        <w:spacing w:line="240" w:lineRule="auto"/>
        <w:rPr>
          <w:rFonts w:eastAsia="Times New Roman"/>
          <w:color w:val="0E101A"/>
          <w:sz w:val="24"/>
          <w:szCs w:val="24"/>
          <w:lang w:val="en-US"/>
        </w:rPr>
      </w:pPr>
      <w:r w:rsidRPr="001B53E5">
        <w:rPr>
          <w:rFonts w:eastAsia="Times New Roman"/>
          <w:b/>
          <w:bCs/>
          <w:color w:val="0E101A"/>
          <w:sz w:val="24"/>
          <w:szCs w:val="24"/>
          <w:lang w:val="en-US"/>
        </w:rPr>
        <w:t>Roll Call and Declarations of Conflicts of Interest</w:t>
      </w:r>
    </w:p>
    <w:p w14:paraId="536C8F74" w14:textId="442FF83E"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t xml:space="preserve">Present: Present at roll call – Ken Woodward, Detroit; Tim Kirsch, Mill City; Brian Gander, Gates; Tony </w:t>
      </w:r>
      <w:proofErr w:type="spellStart"/>
      <w:r w:rsidRPr="001B53E5">
        <w:rPr>
          <w:rFonts w:eastAsia="Times New Roman"/>
          <w:color w:val="0E101A"/>
          <w:sz w:val="24"/>
          <w:szCs w:val="24"/>
          <w:lang w:val="en-US"/>
        </w:rPr>
        <w:t>Morones</w:t>
      </w:r>
      <w:proofErr w:type="spellEnd"/>
      <w:r w:rsidRPr="001B53E5">
        <w:rPr>
          <w:rFonts w:eastAsia="Times New Roman"/>
          <w:color w:val="0E101A"/>
          <w:sz w:val="24"/>
          <w:szCs w:val="24"/>
          <w:lang w:val="en-US"/>
        </w:rPr>
        <w:t>, Detroit; Denny Ni</w:t>
      </w:r>
      <w:r w:rsidR="007D7767">
        <w:rPr>
          <w:rFonts w:eastAsia="Times New Roman"/>
          <w:color w:val="0E101A"/>
          <w:sz w:val="24"/>
          <w:szCs w:val="24"/>
          <w:lang w:val="en-US"/>
        </w:rPr>
        <w:t>e</w:t>
      </w:r>
      <w:r w:rsidRPr="001B53E5">
        <w:rPr>
          <w:rFonts w:eastAsia="Times New Roman"/>
          <w:color w:val="0E101A"/>
          <w:sz w:val="24"/>
          <w:szCs w:val="24"/>
          <w:lang w:val="en-US"/>
        </w:rPr>
        <w:t xml:space="preserve">lsen, Detroit; Brian Nicholas, Marion County Public Works; Mcrae Carmichael, Silas Lobnibe, MWVCOG; Gates; Trevor </w:t>
      </w:r>
      <w:proofErr w:type="spellStart"/>
      <w:r w:rsidRPr="001B53E5">
        <w:rPr>
          <w:rFonts w:eastAsia="Times New Roman"/>
          <w:color w:val="0E101A"/>
          <w:sz w:val="24"/>
          <w:szCs w:val="24"/>
          <w:lang w:val="en-US"/>
        </w:rPr>
        <w:t>Sleeman</w:t>
      </w:r>
      <w:proofErr w:type="spellEnd"/>
      <w:r w:rsidRPr="001B53E5">
        <w:rPr>
          <w:rFonts w:eastAsia="Times New Roman"/>
          <w:color w:val="0E101A"/>
          <w:sz w:val="24"/>
          <w:szCs w:val="24"/>
          <w:lang w:val="en-US"/>
        </w:rPr>
        <w:t>, Mid-Valley Regional Solutions. </w:t>
      </w:r>
    </w:p>
    <w:p w14:paraId="06C82F95" w14:textId="77777777"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t> </w:t>
      </w:r>
    </w:p>
    <w:p w14:paraId="48D623D2" w14:textId="77777777" w:rsidR="001B53E5" w:rsidRPr="001B53E5" w:rsidRDefault="001B53E5" w:rsidP="001B53E5">
      <w:pPr>
        <w:numPr>
          <w:ilvl w:val="0"/>
          <w:numId w:val="4"/>
        </w:numPr>
        <w:spacing w:line="240" w:lineRule="auto"/>
        <w:rPr>
          <w:rFonts w:eastAsia="Times New Roman"/>
          <w:color w:val="0E101A"/>
          <w:sz w:val="24"/>
          <w:szCs w:val="24"/>
          <w:lang w:val="en-US"/>
        </w:rPr>
      </w:pPr>
      <w:r w:rsidRPr="001B53E5">
        <w:rPr>
          <w:rFonts w:eastAsia="Times New Roman"/>
          <w:b/>
          <w:bCs/>
          <w:color w:val="0E101A"/>
          <w:sz w:val="24"/>
          <w:szCs w:val="24"/>
          <w:lang w:val="en-US"/>
        </w:rPr>
        <w:t>Announcements:</w:t>
      </w:r>
    </w:p>
    <w:p w14:paraId="5A290E12" w14:textId="06135E5A"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t xml:space="preserve">Congratulations to </w:t>
      </w:r>
      <w:proofErr w:type="spellStart"/>
      <w:r w:rsidRPr="001B53E5">
        <w:rPr>
          <w:rFonts w:eastAsia="Times New Roman"/>
          <w:color w:val="0E101A"/>
          <w:sz w:val="24"/>
          <w:szCs w:val="24"/>
          <w:lang w:val="en-US"/>
        </w:rPr>
        <w:t>Lari</w:t>
      </w:r>
      <w:proofErr w:type="spellEnd"/>
      <w:r w:rsidRPr="001B53E5">
        <w:rPr>
          <w:rFonts w:eastAsia="Times New Roman"/>
          <w:color w:val="0E101A"/>
          <w:sz w:val="24"/>
          <w:szCs w:val="24"/>
          <w:lang w:val="en-US"/>
        </w:rPr>
        <w:t xml:space="preserve"> Rupp on their third-place finish at the World Skate competition in Argentina.1300 participants in </w:t>
      </w:r>
      <w:r w:rsidRPr="001B53E5">
        <w:rPr>
          <w:rFonts w:eastAsia="Times New Roman"/>
          <w:color w:val="0E101A"/>
          <w:sz w:val="24"/>
          <w:szCs w:val="24"/>
          <w:lang w:val="en-US"/>
        </w:rPr>
        <w:t>Slalom</w:t>
      </w:r>
      <w:r w:rsidRPr="001B53E5">
        <w:rPr>
          <w:rFonts w:eastAsia="Times New Roman"/>
          <w:color w:val="0E101A"/>
          <w:sz w:val="24"/>
          <w:szCs w:val="24"/>
          <w:lang w:val="en-US"/>
        </w:rPr>
        <w:t xml:space="preserve"> Skateboarding </w:t>
      </w:r>
    </w:p>
    <w:p w14:paraId="740DC01F" w14:textId="77777777" w:rsidR="001B53E5" w:rsidRPr="001B53E5" w:rsidRDefault="001B53E5" w:rsidP="001B53E5">
      <w:pPr>
        <w:spacing w:line="240" w:lineRule="auto"/>
        <w:rPr>
          <w:rFonts w:eastAsia="Times New Roman"/>
          <w:color w:val="0E101A"/>
          <w:sz w:val="24"/>
          <w:szCs w:val="24"/>
          <w:lang w:val="en-US"/>
        </w:rPr>
      </w:pPr>
    </w:p>
    <w:p w14:paraId="103BAEAA" w14:textId="77777777" w:rsidR="007D7767" w:rsidRDefault="001B53E5" w:rsidP="001B53E5">
      <w:pPr>
        <w:spacing w:line="240" w:lineRule="auto"/>
        <w:rPr>
          <w:rFonts w:eastAsia="Times New Roman"/>
          <w:b/>
          <w:bCs/>
          <w:color w:val="0E101A"/>
          <w:sz w:val="24"/>
          <w:szCs w:val="24"/>
          <w:lang w:val="en-US"/>
        </w:rPr>
      </w:pPr>
      <w:r w:rsidRPr="001B53E5">
        <w:rPr>
          <w:rFonts w:eastAsia="Times New Roman"/>
          <w:b/>
          <w:bCs/>
          <w:color w:val="0E101A"/>
          <w:sz w:val="24"/>
          <w:szCs w:val="24"/>
          <w:lang w:val="en-US"/>
        </w:rPr>
        <w:t>Public Comment and Questions (please limit Public Comments to 3 minutes each)</w:t>
      </w:r>
    </w:p>
    <w:p w14:paraId="4E906191" w14:textId="4AFE136A"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t>None</w:t>
      </w:r>
    </w:p>
    <w:p w14:paraId="13FBDEB5" w14:textId="77777777" w:rsidR="001B53E5" w:rsidRPr="001B53E5" w:rsidRDefault="001B53E5" w:rsidP="001B53E5">
      <w:pPr>
        <w:spacing w:line="240" w:lineRule="auto"/>
        <w:rPr>
          <w:rFonts w:eastAsia="Times New Roman"/>
          <w:color w:val="0E101A"/>
          <w:sz w:val="24"/>
          <w:szCs w:val="24"/>
          <w:lang w:val="en-US"/>
        </w:rPr>
      </w:pPr>
      <w:r w:rsidRPr="001B53E5">
        <w:rPr>
          <w:rFonts w:eastAsia="Times New Roman"/>
          <w:b/>
          <w:bCs/>
          <w:color w:val="0E101A"/>
          <w:sz w:val="24"/>
          <w:szCs w:val="24"/>
          <w:lang w:val="en-US"/>
        </w:rPr>
        <w:t>Action:</w:t>
      </w:r>
    </w:p>
    <w:p w14:paraId="409B6FDD" w14:textId="77777777" w:rsidR="001B53E5" w:rsidRPr="001B53E5" w:rsidRDefault="001B53E5" w:rsidP="001B53E5">
      <w:pPr>
        <w:numPr>
          <w:ilvl w:val="0"/>
          <w:numId w:val="5"/>
        </w:numPr>
        <w:spacing w:line="240" w:lineRule="auto"/>
        <w:rPr>
          <w:rFonts w:eastAsia="Times New Roman"/>
          <w:color w:val="0E101A"/>
          <w:sz w:val="24"/>
          <w:szCs w:val="24"/>
          <w:lang w:val="en-US"/>
        </w:rPr>
      </w:pPr>
      <w:r w:rsidRPr="001B53E5">
        <w:rPr>
          <w:rFonts w:eastAsia="Times New Roman"/>
          <w:b/>
          <w:bCs/>
          <w:color w:val="0E101A"/>
          <w:sz w:val="24"/>
          <w:szCs w:val="24"/>
          <w:lang w:val="en-US"/>
        </w:rPr>
        <w:t>Marion County Engineer and Design Update: Brian Nicholas </w:t>
      </w:r>
    </w:p>
    <w:p w14:paraId="261F4E46" w14:textId="77777777"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t>Marion County Public Works Director Brian Nicholas has hired a senior project manager, Chris Iemmo, to help lead ARPA-funded utility projects. He will be working with the NSSA beginning late part of January.</w:t>
      </w:r>
    </w:p>
    <w:p w14:paraId="1A0A96DE" w14:textId="77777777" w:rsidR="001B53E5" w:rsidRPr="001B53E5" w:rsidRDefault="001B53E5" w:rsidP="001B53E5">
      <w:pPr>
        <w:spacing w:line="240" w:lineRule="auto"/>
        <w:rPr>
          <w:rFonts w:eastAsia="Times New Roman"/>
          <w:color w:val="0E101A"/>
          <w:sz w:val="24"/>
          <w:szCs w:val="24"/>
          <w:lang w:val="en-US"/>
        </w:rPr>
      </w:pPr>
    </w:p>
    <w:p w14:paraId="234A8869" w14:textId="77777777"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t>The Board of commissioners asked Keller and Associates to perform a step-back analysis to take stock of the Mill City Gates Project. Marion County will refer that analysis to them to move ahead along with tweaks to the Scope of work between Keller and associates to address the risk of implementing an infiltration-based system.</w:t>
      </w:r>
    </w:p>
    <w:p w14:paraId="7D5FDBBD" w14:textId="77777777" w:rsidR="001B53E5" w:rsidRPr="001B53E5" w:rsidRDefault="001B53E5" w:rsidP="001B53E5">
      <w:pPr>
        <w:spacing w:line="240" w:lineRule="auto"/>
        <w:rPr>
          <w:rFonts w:eastAsia="Times New Roman"/>
          <w:color w:val="0E101A"/>
          <w:sz w:val="24"/>
          <w:szCs w:val="24"/>
          <w:lang w:val="en-US"/>
        </w:rPr>
      </w:pPr>
    </w:p>
    <w:p w14:paraId="617DD952" w14:textId="77777777"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t>The County is holding a Scheduled stakeholder engagement meeting on December 13 at the Detroit Community Center. To provide direct flyers and advertising on the incoming system and to engage property owners in the future to build on that system.</w:t>
      </w:r>
    </w:p>
    <w:p w14:paraId="3406FBC7" w14:textId="77777777" w:rsidR="001B53E5" w:rsidRPr="001B53E5" w:rsidRDefault="001B53E5" w:rsidP="001B53E5">
      <w:pPr>
        <w:spacing w:line="240" w:lineRule="auto"/>
        <w:rPr>
          <w:rFonts w:eastAsia="Times New Roman"/>
          <w:color w:val="0E101A"/>
          <w:sz w:val="24"/>
          <w:szCs w:val="24"/>
          <w:lang w:val="en-US"/>
        </w:rPr>
      </w:pPr>
    </w:p>
    <w:p w14:paraId="0AF5C4BB" w14:textId="77777777"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lastRenderedPageBreak/>
        <w:t>Following a meeting with the city council, The County will produce a Wastewater Facilities Plan and a commercial system along with the required groundwater studies and other necessary real property evaluations.</w:t>
      </w:r>
    </w:p>
    <w:p w14:paraId="1188FFB2" w14:textId="77777777" w:rsidR="001B53E5" w:rsidRPr="001B53E5" w:rsidRDefault="001B53E5" w:rsidP="001B53E5">
      <w:pPr>
        <w:spacing w:line="240" w:lineRule="auto"/>
        <w:rPr>
          <w:rFonts w:eastAsia="Times New Roman"/>
          <w:color w:val="0E101A"/>
          <w:sz w:val="24"/>
          <w:szCs w:val="24"/>
          <w:lang w:val="en-US"/>
        </w:rPr>
      </w:pPr>
    </w:p>
    <w:p w14:paraId="4FC60743" w14:textId="77777777" w:rsidR="001B53E5" w:rsidRPr="001B53E5" w:rsidRDefault="001B53E5" w:rsidP="001B53E5">
      <w:pPr>
        <w:numPr>
          <w:ilvl w:val="0"/>
          <w:numId w:val="6"/>
        </w:numPr>
        <w:spacing w:line="240" w:lineRule="auto"/>
        <w:rPr>
          <w:rFonts w:eastAsia="Times New Roman"/>
          <w:color w:val="0E101A"/>
          <w:sz w:val="24"/>
          <w:szCs w:val="24"/>
          <w:lang w:val="en-US"/>
        </w:rPr>
      </w:pPr>
      <w:r w:rsidRPr="001B53E5">
        <w:rPr>
          <w:rFonts w:eastAsia="Times New Roman"/>
          <w:b/>
          <w:bCs/>
          <w:color w:val="0E101A"/>
          <w:sz w:val="24"/>
          <w:szCs w:val="24"/>
          <w:lang w:val="en-US"/>
        </w:rPr>
        <w:t>IGA: MWVCOG and the NSSA</w:t>
      </w:r>
    </w:p>
    <w:p w14:paraId="7B1166A2" w14:textId="77777777"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t>The NSSA completed an IGA with COG to provide administrative services and is left to discuss the contract in front of the Board and sign it.</w:t>
      </w:r>
    </w:p>
    <w:p w14:paraId="659B5820" w14:textId="77777777"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t>The COG is still looking for a project manager to come to assist the Board in coordinating communication on the progress of both projects.</w:t>
      </w:r>
    </w:p>
    <w:p w14:paraId="1390A675" w14:textId="77777777"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t>Gander moved to Approve IGA with Nielsen Seconding.</w:t>
      </w:r>
    </w:p>
    <w:p w14:paraId="2F4EA062" w14:textId="77777777" w:rsidR="001B53E5" w:rsidRPr="001B53E5" w:rsidRDefault="001B53E5" w:rsidP="001B53E5">
      <w:pPr>
        <w:spacing w:line="240" w:lineRule="auto"/>
        <w:rPr>
          <w:rFonts w:eastAsia="Times New Roman"/>
          <w:color w:val="0E101A"/>
          <w:sz w:val="24"/>
          <w:szCs w:val="24"/>
          <w:lang w:val="en-US"/>
        </w:rPr>
      </w:pPr>
    </w:p>
    <w:p w14:paraId="766BAD2F" w14:textId="77777777" w:rsidR="001B53E5" w:rsidRPr="001B53E5" w:rsidRDefault="001B53E5" w:rsidP="001B53E5">
      <w:pPr>
        <w:numPr>
          <w:ilvl w:val="0"/>
          <w:numId w:val="7"/>
        </w:numPr>
        <w:spacing w:line="240" w:lineRule="auto"/>
        <w:rPr>
          <w:rFonts w:eastAsia="Times New Roman"/>
          <w:color w:val="0E101A"/>
          <w:sz w:val="24"/>
          <w:szCs w:val="24"/>
          <w:lang w:val="en-US"/>
        </w:rPr>
      </w:pPr>
      <w:r w:rsidRPr="001B53E5">
        <w:rPr>
          <w:rFonts w:eastAsia="Times New Roman"/>
          <w:b/>
          <w:bCs/>
          <w:color w:val="0E101A"/>
          <w:sz w:val="24"/>
          <w:szCs w:val="24"/>
          <w:lang w:val="en-US"/>
        </w:rPr>
        <w:t>Google Drive and Password</w:t>
      </w:r>
    </w:p>
    <w:p w14:paraId="1BDFDF42" w14:textId="77777777"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t>Technical difficulties warranted the Board's Google Drive and Zoom passwords to be changed and updated before an assigned meeting to do so. Mcrae Carmichael to provide link access to the Drive. Among Members. Gander commented on the importance of Security and informational transparency concerning access to board documents through the Drive.</w:t>
      </w:r>
    </w:p>
    <w:p w14:paraId="7684B220" w14:textId="77777777" w:rsidR="001B53E5" w:rsidRPr="001B53E5" w:rsidRDefault="001B53E5" w:rsidP="001B53E5">
      <w:pPr>
        <w:spacing w:line="240" w:lineRule="auto"/>
        <w:rPr>
          <w:rFonts w:eastAsia="Times New Roman"/>
          <w:color w:val="0E101A"/>
          <w:sz w:val="24"/>
          <w:szCs w:val="24"/>
          <w:lang w:val="en-US"/>
        </w:rPr>
      </w:pPr>
    </w:p>
    <w:p w14:paraId="5BB27CF2" w14:textId="77777777" w:rsidR="001B53E5" w:rsidRPr="001B53E5" w:rsidRDefault="001B53E5" w:rsidP="001B53E5">
      <w:pPr>
        <w:numPr>
          <w:ilvl w:val="0"/>
          <w:numId w:val="8"/>
        </w:numPr>
        <w:spacing w:line="240" w:lineRule="auto"/>
        <w:rPr>
          <w:rFonts w:eastAsia="Times New Roman"/>
          <w:color w:val="0E101A"/>
          <w:sz w:val="24"/>
          <w:szCs w:val="24"/>
          <w:lang w:val="en-US"/>
        </w:rPr>
      </w:pPr>
      <w:r w:rsidRPr="001B53E5">
        <w:rPr>
          <w:rFonts w:eastAsia="Times New Roman"/>
          <w:b/>
          <w:bCs/>
          <w:color w:val="0E101A"/>
          <w:sz w:val="24"/>
          <w:szCs w:val="24"/>
          <w:lang w:val="en-US"/>
        </w:rPr>
        <w:t>Grant Update</w:t>
      </w:r>
    </w:p>
    <w:p w14:paraId="69702B8D" w14:textId="55A5AA86"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t xml:space="preserve">Silas Lobnibe to apply for the Ford Family foundation technical assistance grant to hire an external trainer/consultant to assist in their outreach and communications plan. To apply for this $5000 request before </w:t>
      </w:r>
      <w:r w:rsidR="007D7767">
        <w:rPr>
          <w:rFonts w:eastAsia="Times New Roman"/>
          <w:color w:val="0E101A"/>
          <w:sz w:val="24"/>
          <w:szCs w:val="24"/>
          <w:lang w:val="en-US"/>
        </w:rPr>
        <w:t>December 21</w:t>
      </w:r>
      <w:r w:rsidR="007D7767" w:rsidRPr="007D7767">
        <w:rPr>
          <w:rFonts w:eastAsia="Times New Roman"/>
          <w:color w:val="0E101A"/>
          <w:sz w:val="24"/>
          <w:szCs w:val="24"/>
          <w:vertAlign w:val="superscript"/>
          <w:lang w:val="en-US"/>
        </w:rPr>
        <w:t>st</w:t>
      </w:r>
      <w:r w:rsidR="007D7767">
        <w:rPr>
          <w:rFonts w:eastAsia="Times New Roman"/>
          <w:color w:val="0E101A"/>
          <w:sz w:val="24"/>
          <w:szCs w:val="24"/>
          <w:lang w:val="en-US"/>
        </w:rPr>
        <w:t xml:space="preserve">. </w:t>
      </w:r>
    </w:p>
    <w:p w14:paraId="0F439FAF" w14:textId="77777777" w:rsidR="001B53E5" w:rsidRPr="001B53E5" w:rsidRDefault="001B53E5" w:rsidP="001B53E5">
      <w:pPr>
        <w:spacing w:line="240" w:lineRule="auto"/>
        <w:rPr>
          <w:rFonts w:eastAsia="Times New Roman"/>
          <w:color w:val="0E101A"/>
          <w:sz w:val="24"/>
          <w:szCs w:val="24"/>
          <w:lang w:val="en-US"/>
        </w:rPr>
      </w:pPr>
    </w:p>
    <w:p w14:paraId="3051BFC9" w14:textId="77777777" w:rsidR="001B53E5" w:rsidRPr="001B53E5" w:rsidRDefault="001B53E5" w:rsidP="001B53E5">
      <w:pPr>
        <w:numPr>
          <w:ilvl w:val="0"/>
          <w:numId w:val="9"/>
        </w:numPr>
        <w:spacing w:line="240" w:lineRule="auto"/>
        <w:rPr>
          <w:rFonts w:eastAsia="Times New Roman"/>
          <w:color w:val="0E101A"/>
          <w:sz w:val="24"/>
          <w:szCs w:val="24"/>
          <w:lang w:val="en-US"/>
        </w:rPr>
      </w:pPr>
      <w:r w:rsidRPr="001B53E5">
        <w:rPr>
          <w:rFonts w:eastAsia="Times New Roman"/>
          <w:b/>
          <w:bCs/>
          <w:color w:val="0E101A"/>
          <w:sz w:val="24"/>
          <w:szCs w:val="24"/>
          <w:lang w:val="en-US"/>
        </w:rPr>
        <w:t>Policies and Procedures</w:t>
      </w:r>
    </w:p>
    <w:p w14:paraId="4B37593C" w14:textId="77777777" w:rsidR="001B53E5" w:rsidRPr="001B53E5" w:rsidRDefault="001B53E5" w:rsidP="001B53E5">
      <w:pPr>
        <w:numPr>
          <w:ilvl w:val="1"/>
          <w:numId w:val="10"/>
        </w:numPr>
        <w:spacing w:line="240" w:lineRule="auto"/>
        <w:ind w:left="1440" w:hanging="360"/>
        <w:rPr>
          <w:rFonts w:eastAsia="Times New Roman"/>
          <w:color w:val="0E101A"/>
          <w:sz w:val="24"/>
          <w:szCs w:val="24"/>
          <w:lang w:val="en-US"/>
        </w:rPr>
      </w:pPr>
      <w:r w:rsidRPr="001B53E5">
        <w:rPr>
          <w:rFonts w:eastAsia="Times New Roman"/>
          <w:color w:val="0E101A"/>
          <w:sz w:val="24"/>
          <w:szCs w:val="24"/>
          <w:lang w:val="en-US"/>
        </w:rPr>
        <w:t>Board Meeting vs. Work Sessions</w:t>
      </w:r>
    </w:p>
    <w:p w14:paraId="25673D1F" w14:textId="77777777" w:rsidR="001B53E5" w:rsidRPr="001B53E5" w:rsidRDefault="001B53E5" w:rsidP="001B53E5">
      <w:pPr>
        <w:spacing w:line="240" w:lineRule="auto"/>
        <w:rPr>
          <w:rFonts w:eastAsia="Times New Roman"/>
          <w:color w:val="0E101A"/>
          <w:sz w:val="24"/>
          <w:szCs w:val="24"/>
          <w:lang w:val="en-US"/>
        </w:rPr>
      </w:pPr>
    </w:p>
    <w:p w14:paraId="04A09E70" w14:textId="77777777"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t>The discussion was held to distinguish General Board Meetings where public attendance is allowed, as opposed to Work Sessions where the public can be excluded. Rupp brought forward plans to have general board meetings twice monthly, and where a Quorum is not present, the meeting is deemed a work session. Keller and Associates will be allowed to attend at the request of the Board.</w:t>
      </w:r>
    </w:p>
    <w:p w14:paraId="20EAEFCD" w14:textId="77777777" w:rsidR="001B53E5" w:rsidRPr="001B53E5" w:rsidRDefault="001B53E5" w:rsidP="001B53E5">
      <w:pPr>
        <w:spacing w:line="240" w:lineRule="auto"/>
        <w:rPr>
          <w:rFonts w:eastAsia="Times New Roman"/>
          <w:color w:val="0E101A"/>
          <w:sz w:val="24"/>
          <w:szCs w:val="24"/>
          <w:lang w:val="en-US"/>
        </w:rPr>
      </w:pPr>
    </w:p>
    <w:p w14:paraId="6FFE5F64" w14:textId="77777777" w:rsidR="001B53E5" w:rsidRPr="001B53E5" w:rsidRDefault="001B53E5" w:rsidP="001B53E5">
      <w:pPr>
        <w:numPr>
          <w:ilvl w:val="1"/>
          <w:numId w:val="11"/>
        </w:numPr>
        <w:spacing w:line="240" w:lineRule="auto"/>
        <w:rPr>
          <w:rFonts w:eastAsia="Times New Roman"/>
          <w:color w:val="0E101A"/>
          <w:sz w:val="24"/>
          <w:szCs w:val="24"/>
          <w:lang w:val="en-US"/>
        </w:rPr>
      </w:pPr>
      <w:r w:rsidRPr="001B53E5">
        <w:rPr>
          <w:rFonts w:eastAsia="Times New Roman"/>
          <w:color w:val="0E101A"/>
          <w:sz w:val="24"/>
          <w:szCs w:val="24"/>
          <w:lang w:val="en-US"/>
        </w:rPr>
        <w:t>Terms limits:</w:t>
      </w:r>
    </w:p>
    <w:p w14:paraId="0C9E69F4" w14:textId="77777777"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t xml:space="preserve">Nielsen, Kirsch, and </w:t>
      </w:r>
      <w:proofErr w:type="spellStart"/>
      <w:r w:rsidRPr="001B53E5">
        <w:rPr>
          <w:rFonts w:eastAsia="Times New Roman"/>
          <w:color w:val="0E101A"/>
          <w:sz w:val="24"/>
          <w:szCs w:val="24"/>
          <w:lang w:val="en-US"/>
        </w:rPr>
        <w:t>Morones</w:t>
      </w:r>
      <w:proofErr w:type="spellEnd"/>
      <w:r w:rsidRPr="001B53E5">
        <w:rPr>
          <w:rFonts w:eastAsia="Times New Roman"/>
          <w:color w:val="0E101A"/>
          <w:sz w:val="24"/>
          <w:szCs w:val="24"/>
          <w:lang w:val="en-US"/>
        </w:rPr>
        <w:t xml:space="preserve"> brought up the idea of a slate of individuals acting as chairs if none stepped forward. Additionally, discussion spurred on the kinds of term limits and procedures appropriate to NSSA members.</w:t>
      </w:r>
    </w:p>
    <w:p w14:paraId="1A5BB366" w14:textId="77777777" w:rsidR="007D7767" w:rsidRDefault="007D7767" w:rsidP="001B53E5">
      <w:pPr>
        <w:spacing w:line="240" w:lineRule="auto"/>
        <w:rPr>
          <w:rFonts w:eastAsia="Times New Roman"/>
          <w:b/>
          <w:bCs/>
          <w:color w:val="0E101A"/>
          <w:sz w:val="24"/>
          <w:szCs w:val="24"/>
          <w:lang w:val="en-US"/>
        </w:rPr>
      </w:pPr>
    </w:p>
    <w:p w14:paraId="34537B66" w14:textId="3FAAE68E" w:rsidR="001B53E5" w:rsidRPr="001B53E5" w:rsidRDefault="001B53E5" w:rsidP="001B53E5">
      <w:pPr>
        <w:spacing w:line="240" w:lineRule="auto"/>
        <w:rPr>
          <w:rFonts w:eastAsia="Times New Roman"/>
          <w:color w:val="0E101A"/>
          <w:sz w:val="24"/>
          <w:szCs w:val="24"/>
          <w:lang w:val="en-US"/>
        </w:rPr>
      </w:pPr>
      <w:r w:rsidRPr="001B53E5">
        <w:rPr>
          <w:rFonts w:eastAsia="Times New Roman"/>
          <w:b/>
          <w:bCs/>
          <w:color w:val="0E101A"/>
          <w:sz w:val="24"/>
          <w:szCs w:val="24"/>
          <w:lang w:val="en-US"/>
        </w:rPr>
        <w:t>Consent: </w:t>
      </w:r>
    </w:p>
    <w:p w14:paraId="01B1D605" w14:textId="77777777" w:rsidR="001B53E5" w:rsidRPr="001B53E5" w:rsidRDefault="001B53E5" w:rsidP="001B53E5">
      <w:pPr>
        <w:numPr>
          <w:ilvl w:val="0"/>
          <w:numId w:val="12"/>
        </w:numPr>
        <w:spacing w:line="240" w:lineRule="auto"/>
        <w:rPr>
          <w:rFonts w:eastAsia="Times New Roman"/>
          <w:color w:val="0E101A"/>
          <w:sz w:val="24"/>
          <w:szCs w:val="24"/>
          <w:lang w:val="en-US"/>
        </w:rPr>
      </w:pPr>
      <w:r w:rsidRPr="001B53E5">
        <w:rPr>
          <w:rFonts w:eastAsia="Times New Roman"/>
          <w:color w:val="0E101A"/>
          <w:sz w:val="24"/>
          <w:szCs w:val="24"/>
          <w:lang w:val="en-US"/>
        </w:rPr>
        <w:t>Approve Summary Notes July 11, 2022, August 1, 2022, September 19, 2022, and October 3, 2022 </w:t>
      </w:r>
    </w:p>
    <w:p w14:paraId="1E6C28C1" w14:textId="77777777" w:rsidR="001B53E5" w:rsidRPr="001B53E5" w:rsidRDefault="001B53E5" w:rsidP="001B53E5">
      <w:pPr>
        <w:numPr>
          <w:ilvl w:val="0"/>
          <w:numId w:val="12"/>
        </w:numPr>
        <w:spacing w:line="240" w:lineRule="auto"/>
        <w:rPr>
          <w:rFonts w:eastAsia="Times New Roman"/>
          <w:color w:val="0E101A"/>
          <w:sz w:val="24"/>
          <w:szCs w:val="24"/>
          <w:lang w:val="en-US"/>
        </w:rPr>
      </w:pPr>
      <w:r w:rsidRPr="001B53E5">
        <w:rPr>
          <w:rFonts w:eastAsia="Times New Roman"/>
          <w:color w:val="0E101A"/>
          <w:sz w:val="24"/>
          <w:szCs w:val="24"/>
          <w:lang w:val="en-US"/>
        </w:rPr>
        <w:t>Treasury Report October 2022 (not available)</w:t>
      </w:r>
    </w:p>
    <w:p w14:paraId="36642AAA" w14:textId="77777777" w:rsidR="001B53E5" w:rsidRPr="001B53E5" w:rsidRDefault="001B53E5" w:rsidP="001B53E5">
      <w:pPr>
        <w:spacing w:line="240" w:lineRule="auto"/>
        <w:rPr>
          <w:rFonts w:eastAsia="Times New Roman"/>
          <w:color w:val="0E101A"/>
          <w:sz w:val="24"/>
          <w:szCs w:val="24"/>
          <w:lang w:val="en-US"/>
        </w:rPr>
      </w:pPr>
    </w:p>
    <w:p w14:paraId="3BC58F3A" w14:textId="77777777" w:rsidR="001B53E5" w:rsidRPr="001B53E5" w:rsidRDefault="001B53E5" w:rsidP="001B53E5">
      <w:pPr>
        <w:spacing w:line="240" w:lineRule="auto"/>
        <w:rPr>
          <w:rFonts w:eastAsia="Times New Roman"/>
          <w:color w:val="0E101A"/>
          <w:sz w:val="24"/>
          <w:szCs w:val="24"/>
          <w:lang w:val="en-US"/>
        </w:rPr>
      </w:pPr>
      <w:r w:rsidRPr="001B53E5">
        <w:rPr>
          <w:rFonts w:eastAsia="Times New Roman"/>
          <w:b/>
          <w:bCs/>
          <w:color w:val="0E101A"/>
          <w:sz w:val="24"/>
          <w:szCs w:val="24"/>
          <w:lang w:val="en-US"/>
        </w:rPr>
        <w:t>New Business:</w:t>
      </w:r>
      <w:r w:rsidRPr="001B53E5">
        <w:rPr>
          <w:rFonts w:eastAsia="Times New Roman"/>
          <w:color w:val="0E101A"/>
          <w:sz w:val="24"/>
          <w:szCs w:val="24"/>
          <w:lang w:val="en-US"/>
        </w:rPr>
        <w:t>                                                                   </w:t>
      </w:r>
    </w:p>
    <w:p w14:paraId="25148B40" w14:textId="77777777" w:rsidR="001B53E5" w:rsidRPr="001B53E5" w:rsidRDefault="001B53E5" w:rsidP="001B53E5">
      <w:pPr>
        <w:numPr>
          <w:ilvl w:val="0"/>
          <w:numId w:val="13"/>
        </w:numPr>
        <w:spacing w:line="240" w:lineRule="auto"/>
        <w:rPr>
          <w:rFonts w:eastAsia="Times New Roman"/>
          <w:color w:val="0E101A"/>
          <w:sz w:val="24"/>
          <w:szCs w:val="24"/>
          <w:lang w:val="en-US"/>
        </w:rPr>
      </w:pPr>
      <w:r w:rsidRPr="001B53E5">
        <w:rPr>
          <w:rFonts w:eastAsia="Times New Roman"/>
          <w:color w:val="0E101A"/>
          <w:sz w:val="24"/>
          <w:szCs w:val="24"/>
          <w:lang w:val="en-US"/>
        </w:rPr>
        <w:t>Communication Policy/Strategy </w:t>
      </w:r>
    </w:p>
    <w:p w14:paraId="202ECE4C" w14:textId="77777777" w:rsidR="001B53E5" w:rsidRPr="001B53E5" w:rsidRDefault="001B53E5" w:rsidP="001B53E5">
      <w:pPr>
        <w:spacing w:line="240" w:lineRule="auto"/>
        <w:rPr>
          <w:rFonts w:eastAsia="Times New Roman"/>
          <w:color w:val="0E101A"/>
          <w:sz w:val="24"/>
          <w:szCs w:val="24"/>
          <w:lang w:val="en-US"/>
        </w:rPr>
      </w:pPr>
    </w:p>
    <w:p w14:paraId="3EAD0E5B" w14:textId="77777777"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lastRenderedPageBreak/>
        <w:t>The Board will hold off presenting a complete communications plan till the assigned NSSA project manager transitions into their role beginning late January and</w:t>
      </w:r>
    </w:p>
    <w:p w14:paraId="100C7D3F" w14:textId="77777777" w:rsidR="001B53E5" w:rsidRPr="001B53E5" w:rsidRDefault="001B53E5" w:rsidP="001B53E5">
      <w:pPr>
        <w:spacing w:line="240" w:lineRule="auto"/>
        <w:rPr>
          <w:rFonts w:eastAsia="Times New Roman"/>
          <w:color w:val="0E101A"/>
          <w:sz w:val="24"/>
          <w:szCs w:val="24"/>
          <w:lang w:val="en-US"/>
        </w:rPr>
      </w:pPr>
      <w:r w:rsidRPr="001B53E5">
        <w:rPr>
          <w:rFonts w:eastAsia="Times New Roman"/>
          <w:color w:val="0E101A"/>
          <w:sz w:val="24"/>
          <w:szCs w:val="24"/>
          <w:lang w:val="en-US"/>
        </w:rPr>
        <w:t>more information on projects and their components is received from Keller and Associates, particularly on the temporary commercial system. </w:t>
      </w:r>
    </w:p>
    <w:p w14:paraId="4A2D989A" w14:textId="77777777" w:rsidR="001B53E5" w:rsidRPr="001B53E5" w:rsidRDefault="001B53E5" w:rsidP="001B53E5">
      <w:pPr>
        <w:spacing w:line="240" w:lineRule="auto"/>
        <w:rPr>
          <w:rFonts w:eastAsia="Times New Roman"/>
          <w:color w:val="0E101A"/>
          <w:sz w:val="24"/>
          <w:szCs w:val="24"/>
          <w:lang w:val="en-US"/>
        </w:rPr>
      </w:pPr>
    </w:p>
    <w:p w14:paraId="5244270F" w14:textId="77777777" w:rsidR="001B53E5" w:rsidRPr="001B53E5" w:rsidRDefault="001B53E5" w:rsidP="001B53E5">
      <w:pPr>
        <w:numPr>
          <w:ilvl w:val="0"/>
          <w:numId w:val="14"/>
        </w:numPr>
        <w:spacing w:line="240" w:lineRule="auto"/>
        <w:rPr>
          <w:rFonts w:eastAsia="Times New Roman"/>
          <w:color w:val="0E101A"/>
          <w:sz w:val="24"/>
          <w:szCs w:val="24"/>
          <w:lang w:val="en-US"/>
        </w:rPr>
      </w:pPr>
      <w:r w:rsidRPr="001B53E5">
        <w:rPr>
          <w:rFonts w:eastAsia="Times New Roman"/>
          <w:color w:val="0E101A"/>
          <w:sz w:val="24"/>
          <w:szCs w:val="24"/>
          <w:lang w:val="en-US"/>
        </w:rPr>
        <w:t>Next Meeting Topics</w:t>
      </w:r>
    </w:p>
    <w:p w14:paraId="1B9B3F7F" w14:textId="77777777" w:rsidR="001B53E5" w:rsidRPr="001B53E5" w:rsidRDefault="001B53E5" w:rsidP="001B53E5">
      <w:pPr>
        <w:spacing w:line="240" w:lineRule="auto"/>
        <w:rPr>
          <w:rFonts w:eastAsia="Times New Roman"/>
          <w:color w:val="0E101A"/>
          <w:sz w:val="24"/>
          <w:szCs w:val="24"/>
          <w:lang w:val="en-US"/>
        </w:rPr>
      </w:pPr>
    </w:p>
    <w:tbl>
      <w:tblPr>
        <w:tblStyle w:val="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4635"/>
        <w:gridCol w:w="3120"/>
      </w:tblGrid>
      <w:tr w:rsidR="001B53E5" w14:paraId="19F1EFFA" w14:textId="77777777" w:rsidTr="001B53E5">
        <w:trPr>
          <w:trHeight w:val="365"/>
        </w:trPr>
        <w:tc>
          <w:tcPr>
            <w:tcW w:w="1605" w:type="dxa"/>
            <w:tcBorders>
              <w:top w:val="single" w:sz="8" w:space="0" w:color="000000"/>
              <w:left w:val="single" w:sz="8" w:space="0" w:color="000000"/>
              <w:bottom w:val="single" w:sz="8" w:space="0" w:color="000000"/>
              <w:right w:val="single" w:sz="8" w:space="0" w:color="000000"/>
            </w:tcBorders>
            <w:shd w:val="clear" w:color="auto" w:fill="2A7EC0"/>
            <w:hideMark/>
          </w:tcPr>
          <w:p w14:paraId="005C0671" w14:textId="77777777" w:rsidR="001B53E5" w:rsidRDefault="001B53E5">
            <w:pPr>
              <w:widowControl w:val="0"/>
              <w:spacing w:line="240" w:lineRule="auto"/>
              <w:jc w:val="center"/>
              <w:rPr>
                <w:b/>
                <w:sz w:val="24"/>
                <w:szCs w:val="24"/>
              </w:rPr>
            </w:pPr>
            <w:r>
              <w:rPr>
                <w:b/>
                <w:sz w:val="24"/>
                <w:szCs w:val="24"/>
              </w:rPr>
              <w:t>Date</w:t>
            </w:r>
          </w:p>
        </w:tc>
        <w:tc>
          <w:tcPr>
            <w:tcW w:w="4635" w:type="dxa"/>
            <w:tcBorders>
              <w:top w:val="single" w:sz="8" w:space="0" w:color="000000"/>
              <w:left w:val="single" w:sz="8" w:space="0" w:color="000000"/>
              <w:bottom w:val="single" w:sz="8" w:space="0" w:color="000000"/>
              <w:right w:val="single" w:sz="8" w:space="0" w:color="000000"/>
            </w:tcBorders>
            <w:shd w:val="clear" w:color="auto" w:fill="2A7EC0"/>
            <w:hideMark/>
          </w:tcPr>
          <w:p w14:paraId="656FCDFA" w14:textId="77777777" w:rsidR="001B53E5" w:rsidRDefault="001B53E5">
            <w:pPr>
              <w:widowControl w:val="0"/>
              <w:spacing w:line="240" w:lineRule="auto"/>
              <w:jc w:val="center"/>
              <w:rPr>
                <w:b/>
                <w:sz w:val="24"/>
                <w:szCs w:val="24"/>
              </w:rPr>
            </w:pPr>
            <w:r>
              <w:rPr>
                <w:b/>
                <w:sz w:val="24"/>
                <w:szCs w:val="24"/>
              </w:rPr>
              <w:t>Event</w:t>
            </w:r>
          </w:p>
        </w:tc>
        <w:tc>
          <w:tcPr>
            <w:tcW w:w="3120" w:type="dxa"/>
            <w:tcBorders>
              <w:top w:val="single" w:sz="8" w:space="0" w:color="000000"/>
              <w:left w:val="single" w:sz="8" w:space="0" w:color="000000"/>
              <w:bottom w:val="single" w:sz="8" w:space="0" w:color="000000"/>
              <w:right w:val="single" w:sz="8" w:space="0" w:color="000000"/>
            </w:tcBorders>
            <w:shd w:val="clear" w:color="auto" w:fill="2A7EC0"/>
            <w:hideMark/>
          </w:tcPr>
          <w:p w14:paraId="0D3DE11E" w14:textId="77777777" w:rsidR="001B53E5" w:rsidRDefault="001B53E5">
            <w:pPr>
              <w:widowControl w:val="0"/>
              <w:spacing w:line="240" w:lineRule="auto"/>
              <w:jc w:val="center"/>
              <w:rPr>
                <w:b/>
                <w:sz w:val="24"/>
                <w:szCs w:val="24"/>
              </w:rPr>
            </w:pPr>
            <w:r>
              <w:rPr>
                <w:b/>
                <w:sz w:val="24"/>
                <w:szCs w:val="24"/>
              </w:rPr>
              <w:t>Location</w:t>
            </w:r>
          </w:p>
        </w:tc>
      </w:tr>
      <w:tr w:rsidR="001B53E5" w14:paraId="7731F6E4" w14:textId="77777777" w:rsidTr="001B53E5">
        <w:tc>
          <w:tcPr>
            <w:tcW w:w="1605" w:type="dxa"/>
            <w:tcBorders>
              <w:top w:val="single" w:sz="8" w:space="0" w:color="000000"/>
              <w:left w:val="single" w:sz="8" w:space="0" w:color="000000"/>
              <w:bottom w:val="single" w:sz="8" w:space="0" w:color="000000"/>
              <w:right w:val="single" w:sz="8" w:space="0" w:color="000000"/>
            </w:tcBorders>
          </w:tcPr>
          <w:p w14:paraId="71900682" w14:textId="77777777" w:rsidR="001B53E5" w:rsidRDefault="001B53E5">
            <w:pPr>
              <w:widowControl w:val="0"/>
              <w:spacing w:line="240" w:lineRule="auto"/>
              <w:rPr>
                <w:sz w:val="24"/>
                <w:szCs w:val="24"/>
              </w:rPr>
            </w:pPr>
          </w:p>
        </w:tc>
        <w:tc>
          <w:tcPr>
            <w:tcW w:w="4635" w:type="dxa"/>
            <w:tcBorders>
              <w:top w:val="single" w:sz="8" w:space="0" w:color="000000"/>
              <w:left w:val="single" w:sz="8" w:space="0" w:color="000000"/>
              <w:bottom w:val="single" w:sz="8" w:space="0" w:color="000000"/>
              <w:right w:val="single" w:sz="8" w:space="0" w:color="000000"/>
            </w:tcBorders>
          </w:tcPr>
          <w:p w14:paraId="3D56AE60" w14:textId="77777777" w:rsidR="001B53E5" w:rsidRDefault="001B53E5">
            <w:pPr>
              <w:widowControl w:val="0"/>
              <w:spacing w:line="240" w:lineRule="auto"/>
              <w:rPr>
                <w:sz w:val="24"/>
                <w:szCs w:val="24"/>
              </w:rPr>
            </w:pPr>
          </w:p>
        </w:tc>
        <w:tc>
          <w:tcPr>
            <w:tcW w:w="3120" w:type="dxa"/>
            <w:tcBorders>
              <w:top w:val="single" w:sz="8" w:space="0" w:color="000000"/>
              <w:left w:val="single" w:sz="8" w:space="0" w:color="000000"/>
              <w:bottom w:val="single" w:sz="8" w:space="0" w:color="000000"/>
              <w:right w:val="single" w:sz="8" w:space="0" w:color="000000"/>
            </w:tcBorders>
          </w:tcPr>
          <w:p w14:paraId="416C6A2C" w14:textId="77777777" w:rsidR="001B53E5" w:rsidRDefault="001B53E5">
            <w:pPr>
              <w:widowControl w:val="0"/>
              <w:spacing w:line="240" w:lineRule="auto"/>
              <w:rPr>
                <w:sz w:val="24"/>
                <w:szCs w:val="24"/>
              </w:rPr>
            </w:pPr>
          </w:p>
        </w:tc>
      </w:tr>
      <w:tr w:rsidR="001B53E5" w14:paraId="331F2B21" w14:textId="77777777" w:rsidTr="001B53E5">
        <w:tc>
          <w:tcPr>
            <w:tcW w:w="1605" w:type="dxa"/>
            <w:tcBorders>
              <w:top w:val="single" w:sz="8" w:space="0" w:color="000000"/>
              <w:left w:val="single" w:sz="8" w:space="0" w:color="000000"/>
              <w:bottom w:val="single" w:sz="8" w:space="0" w:color="000000"/>
              <w:right w:val="single" w:sz="8" w:space="0" w:color="000000"/>
            </w:tcBorders>
            <w:hideMark/>
          </w:tcPr>
          <w:p w14:paraId="52D99205" w14:textId="77777777" w:rsidR="001B53E5" w:rsidRDefault="001B53E5">
            <w:pPr>
              <w:widowControl w:val="0"/>
              <w:spacing w:line="240" w:lineRule="auto"/>
              <w:rPr>
                <w:sz w:val="24"/>
                <w:szCs w:val="24"/>
              </w:rPr>
            </w:pPr>
            <w:r>
              <w:rPr>
                <w:sz w:val="24"/>
                <w:szCs w:val="24"/>
              </w:rPr>
              <w:t>November 21, 2022</w:t>
            </w:r>
          </w:p>
        </w:tc>
        <w:tc>
          <w:tcPr>
            <w:tcW w:w="4635" w:type="dxa"/>
            <w:tcBorders>
              <w:top w:val="single" w:sz="8" w:space="0" w:color="000000"/>
              <w:left w:val="single" w:sz="8" w:space="0" w:color="000000"/>
              <w:bottom w:val="single" w:sz="8" w:space="0" w:color="000000"/>
              <w:right w:val="single" w:sz="8" w:space="0" w:color="000000"/>
            </w:tcBorders>
            <w:hideMark/>
          </w:tcPr>
          <w:p w14:paraId="7FC3BA21" w14:textId="77777777" w:rsidR="001B53E5" w:rsidRDefault="001B53E5">
            <w:pPr>
              <w:widowControl w:val="0"/>
              <w:spacing w:line="240" w:lineRule="auto"/>
              <w:rPr>
                <w:sz w:val="24"/>
                <w:szCs w:val="24"/>
              </w:rPr>
            </w:pPr>
            <w:r>
              <w:rPr>
                <w:sz w:val="24"/>
                <w:szCs w:val="24"/>
              </w:rPr>
              <w:t>Board Work Session (if needed)</w:t>
            </w:r>
          </w:p>
        </w:tc>
        <w:tc>
          <w:tcPr>
            <w:tcW w:w="3120" w:type="dxa"/>
            <w:tcBorders>
              <w:top w:val="single" w:sz="8" w:space="0" w:color="000000"/>
              <w:left w:val="single" w:sz="8" w:space="0" w:color="000000"/>
              <w:bottom w:val="single" w:sz="8" w:space="0" w:color="000000"/>
              <w:right w:val="single" w:sz="8" w:space="0" w:color="000000"/>
            </w:tcBorders>
            <w:hideMark/>
          </w:tcPr>
          <w:p w14:paraId="12C88EE9" w14:textId="77777777" w:rsidR="001B53E5" w:rsidRDefault="001B53E5">
            <w:pPr>
              <w:widowControl w:val="0"/>
              <w:spacing w:line="240" w:lineRule="auto"/>
              <w:rPr>
                <w:sz w:val="24"/>
                <w:szCs w:val="24"/>
              </w:rPr>
            </w:pPr>
            <w:r>
              <w:rPr>
                <w:sz w:val="24"/>
                <w:szCs w:val="24"/>
              </w:rPr>
              <w:t>Zoom</w:t>
            </w:r>
          </w:p>
        </w:tc>
      </w:tr>
      <w:tr w:rsidR="001B53E5" w14:paraId="4AC160BA" w14:textId="77777777" w:rsidTr="001B53E5">
        <w:tc>
          <w:tcPr>
            <w:tcW w:w="1605" w:type="dxa"/>
            <w:tcBorders>
              <w:top w:val="single" w:sz="8" w:space="0" w:color="000000"/>
              <w:left w:val="single" w:sz="8" w:space="0" w:color="000000"/>
              <w:bottom w:val="single" w:sz="8" w:space="0" w:color="000000"/>
              <w:right w:val="single" w:sz="8" w:space="0" w:color="000000"/>
            </w:tcBorders>
            <w:hideMark/>
          </w:tcPr>
          <w:p w14:paraId="4DC66A74" w14:textId="77777777" w:rsidR="001B53E5" w:rsidRDefault="001B53E5">
            <w:pPr>
              <w:widowControl w:val="0"/>
              <w:spacing w:line="240" w:lineRule="auto"/>
              <w:rPr>
                <w:sz w:val="24"/>
                <w:szCs w:val="24"/>
              </w:rPr>
            </w:pPr>
            <w:r>
              <w:rPr>
                <w:sz w:val="24"/>
                <w:szCs w:val="24"/>
              </w:rPr>
              <w:t>December 5, 2022</w:t>
            </w:r>
          </w:p>
        </w:tc>
        <w:tc>
          <w:tcPr>
            <w:tcW w:w="4635" w:type="dxa"/>
            <w:tcBorders>
              <w:top w:val="single" w:sz="8" w:space="0" w:color="000000"/>
              <w:left w:val="single" w:sz="8" w:space="0" w:color="000000"/>
              <w:bottom w:val="single" w:sz="8" w:space="0" w:color="000000"/>
              <w:right w:val="single" w:sz="8" w:space="0" w:color="000000"/>
            </w:tcBorders>
            <w:hideMark/>
          </w:tcPr>
          <w:p w14:paraId="4FEEB955" w14:textId="77777777" w:rsidR="001B53E5" w:rsidRDefault="001B53E5">
            <w:pPr>
              <w:widowControl w:val="0"/>
              <w:spacing w:line="240" w:lineRule="auto"/>
              <w:rPr>
                <w:sz w:val="24"/>
                <w:szCs w:val="24"/>
              </w:rPr>
            </w:pPr>
            <w:r>
              <w:rPr>
                <w:sz w:val="24"/>
                <w:szCs w:val="24"/>
              </w:rPr>
              <w:t>Board Meeting</w:t>
            </w:r>
          </w:p>
        </w:tc>
        <w:tc>
          <w:tcPr>
            <w:tcW w:w="3120" w:type="dxa"/>
            <w:tcBorders>
              <w:top w:val="single" w:sz="8" w:space="0" w:color="000000"/>
              <w:left w:val="single" w:sz="8" w:space="0" w:color="000000"/>
              <w:bottom w:val="single" w:sz="8" w:space="0" w:color="000000"/>
              <w:right w:val="single" w:sz="8" w:space="0" w:color="000000"/>
            </w:tcBorders>
            <w:hideMark/>
          </w:tcPr>
          <w:p w14:paraId="1448DFE0" w14:textId="77777777" w:rsidR="001B53E5" w:rsidRDefault="001B53E5">
            <w:pPr>
              <w:widowControl w:val="0"/>
              <w:spacing w:line="240" w:lineRule="auto"/>
              <w:rPr>
                <w:sz w:val="24"/>
                <w:szCs w:val="24"/>
              </w:rPr>
            </w:pPr>
            <w:r>
              <w:rPr>
                <w:sz w:val="24"/>
                <w:szCs w:val="24"/>
              </w:rPr>
              <w:t>Zoom or In Person</w:t>
            </w:r>
          </w:p>
        </w:tc>
      </w:tr>
    </w:tbl>
    <w:p w14:paraId="54C33E1D" w14:textId="77777777" w:rsidR="005B7F4D" w:rsidRPr="001B53E5" w:rsidRDefault="005B7F4D">
      <w:pPr>
        <w:keepLines/>
        <w:spacing w:line="360" w:lineRule="auto"/>
        <w:rPr>
          <w:b/>
          <w:sz w:val="24"/>
          <w:szCs w:val="24"/>
        </w:rPr>
      </w:pPr>
    </w:p>
    <w:p w14:paraId="6132CD34" w14:textId="77777777" w:rsidR="005B7F4D" w:rsidRPr="001B53E5" w:rsidRDefault="005B7F4D">
      <w:pPr>
        <w:rPr>
          <w:sz w:val="24"/>
          <w:szCs w:val="24"/>
          <w:highlight w:val="yellow"/>
        </w:rPr>
      </w:pPr>
    </w:p>
    <w:sectPr w:rsidR="005B7F4D" w:rsidRPr="001B53E5">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A37C2" w14:textId="77777777" w:rsidR="00A7237C" w:rsidRDefault="00A7237C">
      <w:pPr>
        <w:spacing w:line="240" w:lineRule="auto"/>
      </w:pPr>
      <w:r>
        <w:separator/>
      </w:r>
    </w:p>
  </w:endnote>
  <w:endnote w:type="continuationSeparator" w:id="0">
    <w:p w14:paraId="13A58D47" w14:textId="77777777" w:rsidR="00A7237C" w:rsidRDefault="00A72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27DF" w14:textId="77777777" w:rsidR="005B7F4D" w:rsidRDefault="00A7237C">
    <w:pPr>
      <w:pBdr>
        <w:top w:val="nil"/>
        <w:left w:val="nil"/>
        <w:bottom w:val="nil"/>
        <w:right w:val="nil"/>
        <w:between w:val="nil"/>
      </w:pBdr>
      <w:tabs>
        <w:tab w:val="center" w:pos="4680"/>
        <w:tab w:val="right" w:pos="9360"/>
      </w:tabs>
      <w:spacing w:line="240" w:lineRule="auto"/>
      <w:rPr>
        <w:color w:val="000000"/>
      </w:rPr>
    </w:pPr>
    <w:r>
      <w:rPr>
        <w:noProof/>
      </w:rPr>
      <w:drawing>
        <wp:anchor distT="0" distB="0" distL="0" distR="0" simplePos="0" relativeHeight="251659264" behindDoc="1" locked="0" layoutInCell="1" hidden="0" allowOverlap="1" wp14:anchorId="6B70B178" wp14:editId="5D554ABE">
          <wp:simplePos x="0" y="0"/>
          <wp:positionH relativeFrom="column">
            <wp:posOffset>-914399</wp:posOffset>
          </wp:positionH>
          <wp:positionV relativeFrom="paragraph">
            <wp:posOffset>76200</wp:posOffset>
          </wp:positionV>
          <wp:extent cx="7771765" cy="541655"/>
          <wp:effectExtent l="0" t="0" r="0" b="0"/>
          <wp:wrapNone/>
          <wp:docPr id="1"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t="94612" b="1"/>
                  <a:stretch>
                    <a:fillRect/>
                  </a:stretch>
                </pic:blipFill>
                <pic:spPr>
                  <a:xfrm>
                    <a:off x="0" y="0"/>
                    <a:ext cx="7771765" cy="54165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9CD5" w14:textId="77777777" w:rsidR="005B7F4D" w:rsidRDefault="00A7237C">
    <w:r>
      <w:rPr>
        <w:noProof/>
      </w:rPr>
      <w:drawing>
        <wp:anchor distT="0" distB="0" distL="0" distR="0" simplePos="0" relativeHeight="251660288" behindDoc="1" locked="0" layoutInCell="1" hidden="0" allowOverlap="1" wp14:anchorId="1DE196C0" wp14:editId="7261010A">
          <wp:simplePos x="0" y="0"/>
          <wp:positionH relativeFrom="column">
            <wp:posOffset>-1828799</wp:posOffset>
          </wp:positionH>
          <wp:positionV relativeFrom="paragraph">
            <wp:posOffset>0</wp:posOffset>
          </wp:positionV>
          <wp:extent cx="9121664" cy="637175"/>
          <wp:effectExtent l="0" t="0" r="0" b="0"/>
          <wp:wrapNone/>
          <wp:docPr id="3" name="image2.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ext&#10;&#10;Description automatically generated"/>
                  <pic:cNvPicPr preferRelativeResize="0"/>
                </pic:nvPicPr>
                <pic:blipFill>
                  <a:blip r:embed="rId1"/>
                  <a:srcRect t="94612" b="1"/>
                  <a:stretch>
                    <a:fillRect/>
                  </a:stretch>
                </pic:blipFill>
                <pic:spPr>
                  <a:xfrm>
                    <a:off x="0" y="0"/>
                    <a:ext cx="9121664" cy="6371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72897" w14:textId="77777777" w:rsidR="00A7237C" w:rsidRDefault="00A7237C">
      <w:pPr>
        <w:spacing w:line="240" w:lineRule="auto"/>
      </w:pPr>
      <w:r>
        <w:separator/>
      </w:r>
    </w:p>
  </w:footnote>
  <w:footnote w:type="continuationSeparator" w:id="0">
    <w:p w14:paraId="6834EDEB" w14:textId="77777777" w:rsidR="00A7237C" w:rsidRDefault="00A723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4D3A" w14:textId="77777777" w:rsidR="005B7F4D" w:rsidRDefault="00A7237C">
    <w:r>
      <w:rPr>
        <w:noProof/>
      </w:rPr>
      <w:drawing>
        <wp:anchor distT="0" distB="0" distL="0" distR="0" simplePos="0" relativeHeight="251658240" behindDoc="1" locked="0" layoutInCell="1" hidden="0" allowOverlap="1" wp14:anchorId="2C21487F" wp14:editId="13E6F214">
          <wp:simplePos x="0" y="0"/>
          <wp:positionH relativeFrom="page">
            <wp:posOffset>0</wp:posOffset>
          </wp:positionH>
          <wp:positionV relativeFrom="page">
            <wp:posOffset>0</wp:posOffset>
          </wp:positionV>
          <wp:extent cx="7771765" cy="2381250"/>
          <wp:effectExtent l="0" t="0" r="0" b="0"/>
          <wp:wrapNone/>
          <wp:docPr id="2"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b="76324"/>
                  <a:stretch>
                    <a:fillRect/>
                  </a:stretch>
                </pic:blipFill>
                <pic:spPr>
                  <a:xfrm>
                    <a:off x="0" y="0"/>
                    <a:ext cx="7771765" cy="2381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72F"/>
    <w:multiLevelType w:val="multilevel"/>
    <w:tmpl w:val="92E03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35CB6"/>
    <w:multiLevelType w:val="multilevel"/>
    <w:tmpl w:val="19789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92B48"/>
    <w:multiLevelType w:val="multilevel"/>
    <w:tmpl w:val="56600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F435EA"/>
    <w:multiLevelType w:val="hybridMultilevel"/>
    <w:tmpl w:val="80141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560839"/>
    <w:multiLevelType w:val="multilevel"/>
    <w:tmpl w:val="2272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103154"/>
    <w:multiLevelType w:val="multilevel"/>
    <w:tmpl w:val="6504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D472C4"/>
    <w:multiLevelType w:val="multilevel"/>
    <w:tmpl w:val="1CDA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AB4991"/>
    <w:multiLevelType w:val="multilevel"/>
    <w:tmpl w:val="EED4ED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7B741FA"/>
    <w:multiLevelType w:val="multilevel"/>
    <w:tmpl w:val="864A4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323AB8"/>
    <w:multiLevelType w:val="multilevel"/>
    <w:tmpl w:val="ED50A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CD39A3"/>
    <w:multiLevelType w:val="multilevel"/>
    <w:tmpl w:val="E8B62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850FA1"/>
    <w:multiLevelType w:val="multilevel"/>
    <w:tmpl w:val="8F1EFF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E620C0"/>
    <w:multiLevelType w:val="multilevel"/>
    <w:tmpl w:val="3EE0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7052986">
    <w:abstractNumId w:val="7"/>
  </w:num>
  <w:num w:numId="2" w16cid:durableId="1624532368">
    <w:abstractNumId w:val="3"/>
  </w:num>
  <w:num w:numId="3" w16cid:durableId="1984381627">
    <w:abstractNumId w:val="0"/>
  </w:num>
  <w:num w:numId="4" w16cid:durableId="1222911790">
    <w:abstractNumId w:val="9"/>
  </w:num>
  <w:num w:numId="5" w16cid:durableId="1127893486">
    <w:abstractNumId w:val="1"/>
  </w:num>
  <w:num w:numId="6" w16cid:durableId="2027517638">
    <w:abstractNumId w:val="4"/>
  </w:num>
  <w:num w:numId="7" w16cid:durableId="1281257810">
    <w:abstractNumId w:val="6"/>
  </w:num>
  <w:num w:numId="8" w16cid:durableId="584344937">
    <w:abstractNumId w:val="8"/>
  </w:num>
  <w:num w:numId="9" w16cid:durableId="1154950030">
    <w:abstractNumId w:val="11"/>
  </w:num>
  <w:num w:numId="10" w16cid:durableId="1029524277">
    <w:abstractNumId w:val="11"/>
    <w:lvlOverride w:ilvl="1">
      <w:lvl w:ilvl="1">
        <w:numFmt w:val="lowerLetter"/>
        <w:lvlText w:val="%2."/>
        <w:lvlJc w:val="left"/>
      </w:lvl>
    </w:lvlOverride>
  </w:num>
  <w:num w:numId="11" w16cid:durableId="2003922432">
    <w:abstractNumId w:val="2"/>
    <w:lvlOverride w:ilvl="1">
      <w:lvl w:ilvl="1">
        <w:numFmt w:val="lowerLetter"/>
        <w:lvlText w:val="%2."/>
        <w:lvlJc w:val="left"/>
      </w:lvl>
    </w:lvlOverride>
  </w:num>
  <w:num w:numId="12" w16cid:durableId="1406299156">
    <w:abstractNumId w:val="12"/>
  </w:num>
  <w:num w:numId="13" w16cid:durableId="2066444211">
    <w:abstractNumId w:val="10"/>
  </w:num>
  <w:num w:numId="14" w16cid:durableId="1965579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4D"/>
    <w:rsid w:val="000B5656"/>
    <w:rsid w:val="00163192"/>
    <w:rsid w:val="001B22F8"/>
    <w:rsid w:val="001B53E5"/>
    <w:rsid w:val="001F2682"/>
    <w:rsid w:val="002E1D92"/>
    <w:rsid w:val="00314C4D"/>
    <w:rsid w:val="003627C4"/>
    <w:rsid w:val="004338B2"/>
    <w:rsid w:val="005414C9"/>
    <w:rsid w:val="005618DE"/>
    <w:rsid w:val="005B7F4D"/>
    <w:rsid w:val="006064D8"/>
    <w:rsid w:val="00754A82"/>
    <w:rsid w:val="007B443E"/>
    <w:rsid w:val="007D7767"/>
    <w:rsid w:val="00907C22"/>
    <w:rsid w:val="00926EF3"/>
    <w:rsid w:val="009F0E79"/>
    <w:rsid w:val="00A544F8"/>
    <w:rsid w:val="00A7237C"/>
    <w:rsid w:val="00CB058E"/>
    <w:rsid w:val="00D02307"/>
    <w:rsid w:val="00D24486"/>
    <w:rsid w:val="00D260E3"/>
    <w:rsid w:val="00E1077E"/>
    <w:rsid w:val="00EA3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AB2A"/>
  <w15:docId w15:val="{1A83AD1E-F289-43D3-8130-195C63B7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1077E"/>
    <w:pPr>
      <w:ind w:left="720"/>
      <w:contextualSpacing/>
    </w:pPr>
  </w:style>
  <w:style w:type="paragraph" w:styleId="NormalWeb">
    <w:name w:val="Normal (Web)"/>
    <w:basedOn w:val="Normal"/>
    <w:uiPriority w:val="99"/>
    <w:semiHidden/>
    <w:unhideWhenUsed/>
    <w:rsid w:val="001B53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B53E5"/>
    <w:rPr>
      <w:b/>
      <w:bCs/>
    </w:rPr>
  </w:style>
  <w:style w:type="character" w:styleId="Hyperlink">
    <w:name w:val="Hyperlink"/>
    <w:basedOn w:val="DefaultParagraphFont"/>
    <w:uiPriority w:val="99"/>
    <w:semiHidden/>
    <w:unhideWhenUsed/>
    <w:rsid w:val="001B53E5"/>
    <w:rPr>
      <w:color w:val="0000FF"/>
      <w:u w:val="single"/>
    </w:rPr>
  </w:style>
  <w:style w:type="paragraph" w:customStyle="1" w:styleId="ql-indent-1">
    <w:name w:val="ql-indent-1"/>
    <w:basedOn w:val="Normal"/>
    <w:rsid w:val="001B53E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91722">
      <w:bodyDiv w:val="1"/>
      <w:marLeft w:val="0"/>
      <w:marRight w:val="0"/>
      <w:marTop w:val="0"/>
      <w:marBottom w:val="0"/>
      <w:divBdr>
        <w:top w:val="none" w:sz="0" w:space="0" w:color="auto"/>
        <w:left w:val="none" w:sz="0" w:space="0" w:color="auto"/>
        <w:bottom w:val="none" w:sz="0" w:space="0" w:color="auto"/>
        <w:right w:val="none" w:sz="0" w:space="0" w:color="auto"/>
      </w:divBdr>
    </w:div>
    <w:div w:id="350303202">
      <w:bodyDiv w:val="1"/>
      <w:marLeft w:val="0"/>
      <w:marRight w:val="0"/>
      <w:marTop w:val="0"/>
      <w:marBottom w:val="0"/>
      <w:divBdr>
        <w:top w:val="none" w:sz="0" w:space="0" w:color="auto"/>
        <w:left w:val="none" w:sz="0" w:space="0" w:color="auto"/>
        <w:bottom w:val="none" w:sz="0" w:space="0" w:color="auto"/>
        <w:right w:val="none" w:sz="0" w:space="0" w:color="auto"/>
      </w:divBdr>
    </w:div>
    <w:div w:id="829563564">
      <w:bodyDiv w:val="1"/>
      <w:marLeft w:val="0"/>
      <w:marRight w:val="0"/>
      <w:marTop w:val="0"/>
      <w:marBottom w:val="0"/>
      <w:divBdr>
        <w:top w:val="none" w:sz="0" w:space="0" w:color="auto"/>
        <w:left w:val="none" w:sz="0" w:space="0" w:color="auto"/>
        <w:bottom w:val="none" w:sz="0" w:space="0" w:color="auto"/>
        <w:right w:val="none" w:sz="0" w:space="0" w:color="auto"/>
      </w:divBdr>
    </w:div>
    <w:div w:id="1124037845">
      <w:bodyDiv w:val="1"/>
      <w:marLeft w:val="0"/>
      <w:marRight w:val="0"/>
      <w:marTop w:val="0"/>
      <w:marBottom w:val="0"/>
      <w:divBdr>
        <w:top w:val="none" w:sz="0" w:space="0" w:color="auto"/>
        <w:left w:val="none" w:sz="0" w:space="0" w:color="auto"/>
        <w:bottom w:val="none" w:sz="0" w:space="0" w:color="auto"/>
        <w:right w:val="none" w:sz="0" w:space="0" w:color="auto"/>
      </w:divBdr>
    </w:div>
    <w:div w:id="1438212905">
      <w:bodyDiv w:val="1"/>
      <w:marLeft w:val="0"/>
      <w:marRight w:val="0"/>
      <w:marTop w:val="0"/>
      <w:marBottom w:val="0"/>
      <w:divBdr>
        <w:top w:val="none" w:sz="0" w:space="0" w:color="auto"/>
        <w:left w:val="none" w:sz="0" w:space="0" w:color="auto"/>
        <w:bottom w:val="none" w:sz="0" w:space="0" w:color="auto"/>
        <w:right w:val="none" w:sz="0" w:space="0" w:color="auto"/>
      </w:divBdr>
    </w:div>
    <w:div w:id="1807895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oom.us/j/93414748822?pwd=MjJkM3Vyb21YS1BDK2doVEpIZ25uUT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Lobnibe, Silas</dc:creator>
  <cp:keywords/>
  <dc:description/>
  <cp:lastModifiedBy>Lobnibe, Silas</cp:lastModifiedBy>
  <cp:revision>2</cp:revision>
  <dcterms:created xsi:type="dcterms:W3CDTF">2022-11-29T00:03:00Z</dcterms:created>
  <dcterms:modified xsi:type="dcterms:W3CDTF">2022-11-29T00:03:00Z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2dd5789d90ba8063e7516d9563b96c0e432b6d5498200697c703c605e18f00b0</vt:lpwstr>
  </property>
</Properties>
</file>